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B239E8"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29DE4D79" w:rsidR="006D3771" w:rsidRPr="008B6B20" w:rsidRDefault="00DA1D6A" w:rsidP="006D3771">
            <w:pPr>
              <w:jc w:val="center"/>
              <w:rPr>
                <w:sz w:val="32"/>
                <w:szCs w:val="32"/>
                <w:lang w:val="en-GB"/>
              </w:rPr>
            </w:pPr>
            <w:r>
              <w:rPr>
                <w:sz w:val="32"/>
                <w:szCs w:val="32"/>
                <w:lang w:val="en-GB"/>
              </w:rPr>
              <w:t>Malta</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5B2748E9" w:rsidR="008B6B20" w:rsidRPr="00574B1E" w:rsidRDefault="00000000" w:rsidP="008B6B20">
      <w:pPr>
        <w:rPr>
          <w:rFonts w:ascii="Calibri" w:hAnsi="Calibri" w:cs="Calibri"/>
          <w:lang w:val="en-US"/>
        </w:rPr>
      </w:pPr>
      <w:hyperlink r:id="rId11" w:history="1">
        <w:r w:rsidR="00DD3D8E">
          <w:rPr>
            <w:rStyle w:val="Hyperlink"/>
            <w:rFonts w:ascii="Calibri" w:hAnsi="Calibri" w:cs="Calibri"/>
            <w:lang w:val="en-US"/>
          </w:rPr>
          <w:t>CEPEJ Evaluation Report - Country Profiles – Malta</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62A99339"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DA1D6A">
          <w:rPr>
            <w:rStyle w:val="Hyperlink"/>
            <w:rFonts w:ascii="Calibri" w:hAnsi="Calibri" w:cs="Calibri"/>
            <w:lang w:val="en-US"/>
          </w:rPr>
          <w:t>CEPEJ Country fiche - Scoreboard - Malta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724D1B92" w14:textId="77777777" w:rsidR="004801F0" w:rsidRDefault="004801F0" w:rsidP="004801F0">
      <w:pPr>
        <w:pStyle w:val="Default"/>
        <w:jc w:val="both"/>
        <w:rPr>
          <w:rFonts w:asciiTheme="minorHAnsi" w:eastAsiaTheme="minorEastAsia" w:hAnsiTheme="minorHAnsi" w:cstheme="minorHAnsi"/>
          <w:b/>
          <w:bCs/>
          <w:color w:val="auto"/>
          <w:sz w:val="20"/>
          <w:szCs w:val="20"/>
          <w:lang w:val="en-GB"/>
        </w:rPr>
      </w:pPr>
      <w:bookmarkStart w:id="0" w:name="_Hlk189207651"/>
      <w:bookmarkStart w:id="1" w:name="_Hlk189208189"/>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Malta</w:t>
      </w:r>
    </w:p>
    <w:p w14:paraId="132791AC" w14:textId="77777777" w:rsidR="004801F0" w:rsidRDefault="004801F0" w:rsidP="004801F0">
      <w:pPr>
        <w:pStyle w:val="Default"/>
        <w:jc w:val="both"/>
        <w:rPr>
          <w:rFonts w:asciiTheme="minorHAnsi" w:eastAsiaTheme="minorEastAsia" w:hAnsiTheme="minorHAnsi" w:cstheme="minorHAnsi"/>
          <w:b/>
          <w:bCs/>
          <w:color w:val="auto"/>
          <w:sz w:val="20"/>
          <w:szCs w:val="20"/>
          <w:lang w:val="en-GB"/>
        </w:rPr>
      </w:pPr>
    </w:p>
    <w:p w14:paraId="700C4108" w14:textId="77777777" w:rsidR="004801F0" w:rsidRPr="00FF2525" w:rsidRDefault="004801F0" w:rsidP="004801F0">
      <w:pPr>
        <w:pStyle w:val="Default"/>
        <w:jc w:val="both"/>
        <w:rPr>
          <w:rFonts w:cstheme="minorHAnsi"/>
          <w:b/>
          <w:bCs/>
          <w:i/>
          <w:iCs/>
          <w:sz w:val="20"/>
          <w:szCs w:val="20"/>
          <w:lang w:val="en-US"/>
        </w:rPr>
      </w:pPr>
      <w:bookmarkStart w:id="2"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CoE’s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bookmarkEnd w:id="0"/>
      <w:r w:rsidRPr="003C3013">
        <w:rPr>
          <w:rFonts w:cstheme="minorHAnsi"/>
          <w:b/>
          <w:bCs/>
          <w:i/>
          <w:iCs/>
          <w:sz w:val="20"/>
          <w:szCs w:val="20"/>
          <w:lang w:val="en-US"/>
        </w:rPr>
        <w:t>.</w:t>
      </w:r>
    </w:p>
    <w:bookmarkEnd w:id="1"/>
    <w:bookmarkEnd w:id="2"/>
    <w:p w14:paraId="217DCDCE" w14:textId="77777777" w:rsidR="004801F0" w:rsidRDefault="004801F0">
      <w:pPr>
        <w:rPr>
          <w:rFonts w:cs="Arial"/>
          <w:color w:val="FFFFFF" w:themeColor="background1"/>
          <w:sz w:val="22"/>
          <w:szCs w:val="22"/>
          <w:shd w:val="clear" w:color="auto" w:fill="1F3864" w:themeFill="accent1" w:themeFillShade="80"/>
          <w:lang w:val="en-US"/>
        </w:rPr>
      </w:pPr>
    </w:p>
    <w:p w14:paraId="187052D9" w14:textId="77777777" w:rsidR="004801F0" w:rsidRPr="00B65DBA" w:rsidRDefault="004801F0" w:rsidP="004801F0">
      <w:pPr>
        <w:pStyle w:val="ListParagraph"/>
        <w:numPr>
          <w:ilvl w:val="0"/>
          <w:numId w:val="13"/>
        </w:numPr>
        <w:jc w:val="both"/>
        <w:rPr>
          <w:rFonts w:cstheme="minorHAnsi"/>
          <w:lang w:val="en-GB"/>
        </w:rPr>
      </w:pPr>
      <w:r w:rsidRPr="00B65DBA">
        <w:rPr>
          <w:rFonts w:cstheme="minorHAnsi"/>
          <w:i/>
          <w:iCs/>
          <w:lang w:val="en-GB"/>
        </w:rPr>
        <w:t xml:space="preserve">LENGTH OF PROCEEDINGS </w:t>
      </w:r>
    </w:p>
    <w:p w14:paraId="2826FAAB" w14:textId="77777777" w:rsidR="004801F0" w:rsidRPr="009E0AB4" w:rsidRDefault="004801F0" w:rsidP="004801F0">
      <w:pPr>
        <w:pStyle w:val="s2eb42ed2"/>
        <w:shd w:val="clear" w:color="auto" w:fill="FFFFFF"/>
        <w:spacing w:before="0" w:beforeAutospacing="0" w:after="0" w:afterAutospacing="0"/>
        <w:jc w:val="both"/>
        <w:rPr>
          <w:rFonts w:asciiTheme="minorHAnsi" w:hAnsiTheme="minorHAnsi" w:cstheme="minorHAnsi"/>
          <w:color w:val="000000"/>
          <w:sz w:val="20"/>
          <w:szCs w:val="20"/>
          <w:lang w:val="en-US"/>
        </w:rPr>
      </w:pPr>
      <w:r w:rsidRPr="009E0AB4">
        <w:rPr>
          <w:rFonts w:asciiTheme="minorHAnsi" w:hAnsiTheme="minorHAnsi" w:cstheme="minorHAnsi"/>
          <w:sz w:val="20"/>
          <w:szCs w:val="20"/>
          <w:u w:val="single"/>
          <w:lang w:val="en-GB"/>
        </w:rPr>
        <w:t>Galea and Pavia</w:t>
      </w:r>
      <w:r w:rsidRPr="009E0AB4">
        <w:rPr>
          <w:rFonts w:asciiTheme="minorHAnsi" w:eastAsia="Calibri" w:hAnsiTheme="minorHAnsi" w:cstheme="minorHAnsi"/>
          <w:sz w:val="20"/>
          <w:szCs w:val="20"/>
          <w:u w:val="single"/>
          <w:lang w:val="en-GB"/>
        </w:rPr>
        <w:t xml:space="preserve"> group (ENHA):</w:t>
      </w:r>
      <w:r w:rsidRPr="009E0AB4">
        <w:rPr>
          <w:rFonts w:asciiTheme="minorHAnsi" w:hAnsiTheme="minorHAnsi" w:cstheme="minorHAnsi"/>
          <w:sz w:val="20"/>
          <w:szCs w:val="20"/>
          <w:shd w:val="clear" w:color="auto" w:fill="FFFFFF"/>
          <w:lang w:val="en-GB"/>
        </w:rPr>
        <w:t xml:space="preserve"> These cases concern the </w:t>
      </w:r>
      <w:r w:rsidRPr="009E0AB4">
        <w:rPr>
          <w:rStyle w:val="sbb9ee52a"/>
          <w:rFonts w:asciiTheme="minorHAnsi" w:eastAsiaTheme="majorEastAsia" w:hAnsiTheme="minorHAnsi" w:cstheme="minorHAnsi"/>
          <w:color w:val="000000"/>
          <w:sz w:val="20"/>
          <w:szCs w:val="20"/>
          <w:lang w:val="en-US"/>
        </w:rPr>
        <w:t>the excessive length of criminal proceedings against the applicants,</w:t>
      </w:r>
      <w:r w:rsidRPr="009E0AB4">
        <w:rPr>
          <w:rStyle w:val="s391e78ba"/>
          <w:rFonts w:asciiTheme="minorHAnsi" w:eastAsiaTheme="majorEastAsia" w:hAnsiTheme="minorHAnsi" w:cstheme="minorHAnsi"/>
          <w:color w:val="000000"/>
          <w:sz w:val="20"/>
          <w:szCs w:val="20"/>
          <w:shd w:val="clear" w:color="auto" w:fill="FFFFFF"/>
          <w:lang w:val="en-US"/>
        </w:rPr>
        <w:t xml:space="preserve"> compensation proceedings resulting from </w:t>
      </w:r>
      <w:r>
        <w:rPr>
          <w:rStyle w:val="s391e78ba"/>
          <w:rFonts w:asciiTheme="minorHAnsi" w:eastAsiaTheme="majorEastAsia" w:hAnsiTheme="minorHAnsi" w:cstheme="minorHAnsi"/>
          <w:color w:val="000000"/>
          <w:sz w:val="20"/>
          <w:szCs w:val="20"/>
          <w:shd w:val="clear" w:color="auto" w:fill="FFFFFF"/>
          <w:lang w:val="en-US"/>
        </w:rPr>
        <w:t>land</w:t>
      </w:r>
      <w:r w:rsidRPr="009E0AB4">
        <w:rPr>
          <w:rStyle w:val="s391e78ba"/>
          <w:rFonts w:asciiTheme="minorHAnsi" w:eastAsiaTheme="majorEastAsia" w:hAnsiTheme="minorHAnsi" w:cstheme="minorHAnsi"/>
          <w:color w:val="000000"/>
          <w:sz w:val="20"/>
          <w:szCs w:val="20"/>
          <w:shd w:val="clear" w:color="auto" w:fill="FFFFFF"/>
          <w:lang w:val="en-US"/>
        </w:rPr>
        <w:t xml:space="preserve"> expropriation</w:t>
      </w:r>
      <w:r w:rsidRPr="009E0AB4">
        <w:rPr>
          <w:rStyle w:val="sbb9ee52a"/>
          <w:rFonts w:asciiTheme="minorHAnsi" w:eastAsiaTheme="majorEastAsia" w:hAnsiTheme="minorHAnsi" w:cstheme="minorHAnsi"/>
          <w:color w:val="000000"/>
          <w:sz w:val="20"/>
          <w:szCs w:val="20"/>
          <w:lang w:val="en-US"/>
        </w:rPr>
        <w:t>, constitutional redress proceedings, a</w:t>
      </w:r>
      <w:r>
        <w:rPr>
          <w:rStyle w:val="sbb9ee52a"/>
          <w:rFonts w:asciiTheme="minorHAnsi" w:eastAsiaTheme="majorEastAsia" w:hAnsiTheme="minorHAnsi" w:cstheme="minorHAnsi"/>
          <w:color w:val="000000"/>
          <w:sz w:val="20"/>
          <w:szCs w:val="20"/>
          <w:lang w:val="en-US"/>
        </w:rPr>
        <w:t>s well as t</w:t>
      </w:r>
      <w:r w:rsidRPr="009E0AB4">
        <w:rPr>
          <w:rStyle w:val="sbb9ee52a"/>
          <w:rFonts w:asciiTheme="minorHAnsi" w:eastAsiaTheme="majorEastAsia" w:hAnsiTheme="minorHAnsi" w:cstheme="minorHAnsi"/>
          <w:color w:val="000000"/>
          <w:sz w:val="20"/>
          <w:szCs w:val="20"/>
          <w:lang w:val="en-US"/>
        </w:rPr>
        <w:t>he lack of effective remedies thereof (violation</w:t>
      </w:r>
      <w:r>
        <w:rPr>
          <w:rStyle w:val="sbb9ee52a"/>
          <w:rFonts w:asciiTheme="minorHAnsi" w:eastAsiaTheme="majorEastAsia" w:hAnsiTheme="minorHAnsi" w:cstheme="minorHAnsi"/>
          <w:color w:val="000000"/>
          <w:sz w:val="20"/>
          <w:szCs w:val="20"/>
          <w:lang w:val="en-US"/>
        </w:rPr>
        <w:t>s of Article 6 and</w:t>
      </w:r>
      <w:r w:rsidRPr="009E0AB4">
        <w:rPr>
          <w:rStyle w:val="sbb9ee52a"/>
          <w:rFonts w:asciiTheme="minorHAnsi" w:eastAsiaTheme="majorEastAsia" w:hAnsiTheme="minorHAnsi" w:cstheme="minorHAnsi"/>
          <w:color w:val="000000"/>
          <w:sz w:val="20"/>
          <w:szCs w:val="20"/>
          <w:lang w:val="en-US"/>
        </w:rPr>
        <w:t xml:space="preserve"> 13</w:t>
      </w:r>
      <w:r w:rsidRPr="009E0AB4">
        <w:rPr>
          <w:rStyle w:val="s391e78ba"/>
          <w:rFonts w:asciiTheme="minorHAnsi" w:eastAsiaTheme="majorEastAsia" w:hAnsiTheme="minorHAnsi" w:cstheme="minorHAnsi"/>
          <w:color w:val="000000"/>
          <w:sz w:val="20"/>
          <w:szCs w:val="20"/>
          <w:shd w:val="clear" w:color="auto" w:fill="FFFFFF"/>
          <w:lang w:val="en-US"/>
        </w:rPr>
        <w:t> in conjunction with Article 6</w:t>
      </w:r>
      <w:r w:rsidRPr="009E0AB4">
        <w:rPr>
          <w:rStyle w:val="sbb9ee52a"/>
          <w:rFonts w:asciiTheme="minorHAnsi" w:eastAsiaTheme="majorEastAsia" w:hAnsiTheme="minorHAnsi" w:cstheme="minorHAnsi"/>
          <w:color w:val="000000"/>
          <w:sz w:val="20"/>
          <w:szCs w:val="20"/>
          <w:lang w:val="en-US"/>
        </w:rPr>
        <w:t>).</w:t>
      </w:r>
    </w:p>
    <w:p w14:paraId="7A6B4690" w14:textId="77777777" w:rsidR="004801F0" w:rsidRPr="009E0AB4" w:rsidRDefault="004801F0" w:rsidP="004801F0">
      <w:pPr>
        <w:jc w:val="both"/>
        <w:rPr>
          <w:rFonts w:cstheme="minorHAnsi"/>
          <w:color w:val="000000"/>
          <w:shd w:val="clear" w:color="auto" w:fill="FFFFFF"/>
          <w:lang w:val="en-GB"/>
        </w:rPr>
      </w:pPr>
      <w:r w:rsidRPr="009E0AB4">
        <w:rPr>
          <w:rFonts w:cstheme="minorHAnsi"/>
          <w:color w:val="000000"/>
          <w:shd w:val="clear" w:color="auto" w:fill="FFFFFF"/>
          <w:lang w:val="en-GB"/>
        </w:rPr>
        <w:t xml:space="preserve">Presentation on Hudoc.exec: </w:t>
      </w:r>
      <w:hyperlink r:id="rId16" w:history="1">
        <w:r w:rsidRPr="009E0AB4">
          <w:rPr>
            <w:rStyle w:val="Hyperlink"/>
            <w:rFonts w:cstheme="minorHAnsi"/>
            <w:color w:val="0000FF"/>
            <w:shd w:val="clear" w:color="auto" w:fill="FFFFFF"/>
            <w:lang w:val="en-GB"/>
          </w:rPr>
          <w:t xml:space="preserve">Galea and Pavia </w:t>
        </w:r>
      </w:hyperlink>
    </w:p>
    <w:p w14:paraId="007EF75B" w14:textId="77777777" w:rsidR="004801F0" w:rsidRPr="009E0AB4" w:rsidRDefault="004801F0" w:rsidP="004801F0">
      <w:pPr>
        <w:spacing w:line="256" w:lineRule="auto"/>
        <w:jc w:val="both"/>
        <w:rPr>
          <w:rFonts w:cstheme="minorHAnsi"/>
          <w:color w:val="000000"/>
          <w:shd w:val="clear" w:color="auto" w:fill="FFFFFF"/>
          <w:lang w:val="en-GB"/>
        </w:rPr>
      </w:pPr>
      <w:r w:rsidRPr="009E0AB4">
        <w:rPr>
          <w:rFonts w:cstheme="minorHAnsi"/>
          <w:lang w:val="en-GB"/>
        </w:rPr>
        <w:t xml:space="preserve">Latest decisions: </w:t>
      </w:r>
      <w:hyperlink r:id="rId17" w:history="1">
        <w:r w:rsidRPr="00F35BD0">
          <w:rPr>
            <w:rStyle w:val="Hyperlink"/>
            <w:rFonts w:cstheme="minorHAnsi"/>
            <w:shd w:val="clear" w:color="auto" w:fill="FFFFFF"/>
            <w:lang w:val="en-US"/>
          </w:rPr>
          <w:t>CM/Del/Dec(2024)1501/H46-20</w:t>
        </w:r>
      </w:hyperlink>
      <w:r w:rsidRPr="009E0AB4">
        <w:rPr>
          <w:rFonts w:cstheme="minorHAnsi"/>
          <w:color w:val="000000"/>
          <w:shd w:val="clear" w:color="auto" w:fill="FFFFFF"/>
          <w:lang w:val="en-GB"/>
        </w:rPr>
        <w:t xml:space="preserve"> </w:t>
      </w:r>
    </w:p>
    <w:p w14:paraId="21E4070C" w14:textId="77777777" w:rsidR="004801F0" w:rsidRPr="009E0AB4" w:rsidRDefault="004801F0" w:rsidP="004801F0">
      <w:pPr>
        <w:spacing w:line="256" w:lineRule="auto"/>
        <w:jc w:val="both"/>
        <w:rPr>
          <w:rFonts w:cstheme="minorHAnsi"/>
          <w:color w:val="000000"/>
          <w:shd w:val="clear" w:color="auto" w:fill="FFFFFF"/>
          <w:lang w:val="en-GB"/>
        </w:rPr>
      </w:pPr>
      <w:r w:rsidRPr="009E0AB4">
        <w:rPr>
          <w:rFonts w:cstheme="minorHAnsi"/>
          <w:color w:val="000000"/>
          <w:shd w:val="clear" w:color="auto" w:fill="FFFFFF"/>
          <w:lang w:val="en-GB"/>
        </w:rPr>
        <w:lastRenderedPageBreak/>
        <w:t xml:space="preserve">Latest information: </w:t>
      </w:r>
      <w:hyperlink r:id="rId18" w:history="1">
        <w:r w:rsidRPr="00F35BD0">
          <w:rPr>
            <w:rStyle w:val="Hyperlink"/>
            <w:rFonts w:cstheme="minorHAnsi"/>
            <w:lang w:val="en-US"/>
          </w:rPr>
          <w:t>DH-DD(2024)403E</w:t>
        </w:r>
      </w:hyperlink>
    </w:p>
    <w:p w14:paraId="43EF188C" w14:textId="77777777" w:rsidR="004801F0" w:rsidRPr="00B27535" w:rsidRDefault="004801F0" w:rsidP="004801F0">
      <w:pPr>
        <w:jc w:val="both"/>
        <w:rPr>
          <w:rFonts w:eastAsia="Times New Roman" w:cstheme="minorHAnsi"/>
          <w:i/>
          <w:iCs/>
          <w:lang w:val="en-US" w:eastAsia="fr-FR"/>
        </w:rPr>
      </w:pPr>
    </w:p>
    <w:p w14:paraId="468D9940" w14:textId="77777777" w:rsidR="004801F0" w:rsidRPr="00B65DBA" w:rsidRDefault="004801F0" w:rsidP="004801F0">
      <w:pPr>
        <w:pStyle w:val="ListParagraph"/>
        <w:numPr>
          <w:ilvl w:val="0"/>
          <w:numId w:val="13"/>
        </w:numPr>
        <w:jc w:val="both"/>
        <w:rPr>
          <w:rFonts w:eastAsia="Times New Roman" w:cstheme="minorHAnsi"/>
          <w:i/>
          <w:iCs/>
          <w:lang w:val="en-US" w:eastAsia="fr-FR"/>
        </w:rPr>
      </w:pPr>
      <w:r w:rsidRPr="00B65DBA">
        <w:rPr>
          <w:rFonts w:eastAsia="Times New Roman" w:cstheme="minorHAnsi"/>
          <w:i/>
          <w:iCs/>
          <w:lang w:val="en-US" w:eastAsia="fr-FR"/>
        </w:rPr>
        <w:t>INDEPENDENCE OF SPECIALISED TRIBUNALS</w:t>
      </w:r>
    </w:p>
    <w:p w14:paraId="413CFB13" w14:textId="77777777" w:rsidR="004801F0" w:rsidRPr="00B27535" w:rsidRDefault="004801F0" w:rsidP="004801F0">
      <w:pPr>
        <w:pStyle w:val="ListParagraph"/>
        <w:jc w:val="both"/>
        <w:rPr>
          <w:rFonts w:eastAsia="Times New Roman" w:cstheme="minorHAnsi"/>
          <w:i/>
          <w:iCs/>
          <w:lang w:val="en-US" w:eastAsia="fr-FR"/>
        </w:rPr>
      </w:pPr>
    </w:p>
    <w:p w14:paraId="5B78E509" w14:textId="77777777" w:rsidR="004801F0" w:rsidRPr="009849FB" w:rsidRDefault="004801F0" w:rsidP="004801F0">
      <w:pPr>
        <w:pStyle w:val="s10950c61"/>
        <w:shd w:val="clear" w:color="auto" w:fill="FFFFFF"/>
        <w:spacing w:before="0" w:beforeAutospacing="0" w:after="0" w:afterAutospacing="0"/>
        <w:jc w:val="both"/>
        <w:rPr>
          <w:rFonts w:asciiTheme="minorHAnsi" w:hAnsiTheme="minorHAnsi" w:cstheme="minorHAnsi"/>
          <w:color w:val="000000"/>
          <w:sz w:val="20"/>
          <w:szCs w:val="20"/>
          <w:lang w:val="en-US"/>
        </w:rPr>
      </w:pPr>
      <w:r w:rsidRPr="009849FB">
        <w:rPr>
          <w:rFonts w:asciiTheme="minorHAnsi" w:hAnsiTheme="minorHAnsi" w:cstheme="minorHAnsi"/>
          <w:sz w:val="20"/>
          <w:szCs w:val="20"/>
          <w:u w:val="single"/>
          <w:lang w:val="en-US"/>
        </w:rPr>
        <w:t>J.B. and Others</w:t>
      </w:r>
      <w:r w:rsidRPr="009849FB">
        <w:rPr>
          <w:rFonts w:asciiTheme="minorHAnsi" w:hAnsiTheme="minorHAnsi" w:cstheme="minorHAnsi"/>
          <w:sz w:val="20"/>
          <w:szCs w:val="20"/>
          <w:lang w:val="en-US"/>
        </w:rPr>
        <w:t xml:space="preserve"> (judgment </w:t>
      </w:r>
      <w:r>
        <w:rPr>
          <w:rFonts w:asciiTheme="minorHAnsi" w:hAnsiTheme="minorHAnsi" w:cstheme="minorHAnsi"/>
          <w:sz w:val="20"/>
          <w:szCs w:val="20"/>
          <w:lang w:val="en-US"/>
        </w:rPr>
        <w:t xml:space="preserve">of 22 October 2024, </w:t>
      </w:r>
      <w:r w:rsidRPr="009849FB">
        <w:rPr>
          <w:rFonts w:asciiTheme="minorHAnsi" w:hAnsiTheme="minorHAnsi" w:cstheme="minorHAnsi"/>
          <w:sz w:val="20"/>
          <w:szCs w:val="20"/>
          <w:lang w:val="en-US"/>
        </w:rPr>
        <w:t xml:space="preserve">not yet final): This case concerns </w:t>
      </w:r>
      <w:r w:rsidRPr="009849FB">
        <w:rPr>
          <w:rStyle w:val="sbb9ee52a"/>
          <w:rFonts w:asciiTheme="minorHAnsi" w:eastAsiaTheme="majorEastAsia" w:hAnsiTheme="minorHAnsi" w:cstheme="minorHAnsi"/>
          <w:color w:val="000000"/>
          <w:sz w:val="20"/>
          <w:szCs w:val="20"/>
          <w:lang w:val="en-US"/>
        </w:rPr>
        <w:t xml:space="preserve">mainly the lack of independence and impartiality of the Immigration Appeals </w:t>
      </w:r>
      <w:r>
        <w:rPr>
          <w:rStyle w:val="sbb9ee52a"/>
          <w:rFonts w:asciiTheme="minorHAnsi" w:eastAsiaTheme="majorEastAsia" w:hAnsiTheme="minorHAnsi" w:cstheme="minorHAnsi"/>
          <w:color w:val="000000"/>
          <w:sz w:val="20"/>
          <w:szCs w:val="20"/>
          <w:lang w:val="en-US"/>
        </w:rPr>
        <w:t>Board,</w:t>
      </w:r>
      <w:r w:rsidRPr="009849FB">
        <w:rPr>
          <w:rStyle w:val="sbb9ee52a"/>
          <w:rFonts w:asciiTheme="minorHAnsi" w:eastAsiaTheme="majorEastAsia" w:hAnsiTheme="minorHAnsi" w:cstheme="minorHAnsi"/>
          <w:color w:val="000000"/>
          <w:sz w:val="20"/>
          <w:szCs w:val="20"/>
          <w:lang w:val="en-US"/>
        </w:rPr>
        <w:t xml:space="preserve"> due to the manner of appointment of its members and their term of office</w:t>
      </w:r>
      <w:r>
        <w:rPr>
          <w:rStyle w:val="sbb9ee52a"/>
          <w:rFonts w:asciiTheme="minorHAnsi" w:eastAsiaTheme="majorEastAsia" w:hAnsiTheme="minorHAnsi" w:cstheme="minorHAnsi"/>
          <w:color w:val="000000"/>
          <w:sz w:val="20"/>
          <w:szCs w:val="20"/>
          <w:lang w:val="en-US"/>
        </w:rPr>
        <w:t xml:space="preserve"> and</w:t>
      </w:r>
      <w:r w:rsidRPr="009849FB">
        <w:rPr>
          <w:rStyle w:val="sbb9ee52a"/>
          <w:rFonts w:asciiTheme="minorHAnsi" w:eastAsiaTheme="majorEastAsia" w:hAnsiTheme="minorHAnsi" w:cstheme="minorHAnsi"/>
          <w:color w:val="000000"/>
          <w:sz w:val="20"/>
          <w:szCs w:val="20"/>
          <w:lang w:val="en-US"/>
        </w:rPr>
        <w:t xml:space="preserve"> </w:t>
      </w:r>
      <w:r>
        <w:rPr>
          <w:rStyle w:val="sbb9ee52a"/>
          <w:rFonts w:asciiTheme="minorHAnsi" w:eastAsiaTheme="majorEastAsia" w:hAnsiTheme="minorHAnsi" w:cstheme="minorHAnsi"/>
          <w:color w:val="000000"/>
          <w:sz w:val="20"/>
          <w:szCs w:val="20"/>
          <w:lang w:val="en-US"/>
        </w:rPr>
        <w:t xml:space="preserve">the </w:t>
      </w:r>
      <w:r w:rsidRPr="009849FB">
        <w:rPr>
          <w:rStyle w:val="sbb9ee52a"/>
          <w:rFonts w:asciiTheme="minorHAnsi" w:eastAsiaTheme="majorEastAsia" w:hAnsiTheme="minorHAnsi" w:cstheme="minorHAnsi"/>
          <w:color w:val="000000"/>
          <w:sz w:val="20"/>
          <w:szCs w:val="20"/>
          <w:lang w:val="en-US"/>
        </w:rPr>
        <w:t>lack of guarantees against outside pressure.</w:t>
      </w:r>
    </w:p>
    <w:p w14:paraId="47F78201" w14:textId="77777777" w:rsidR="004801F0" w:rsidRPr="009E0AB4" w:rsidRDefault="004801F0" w:rsidP="004801F0">
      <w:pPr>
        <w:jc w:val="both"/>
        <w:rPr>
          <w:rFonts w:cstheme="minorHAnsi"/>
          <w:color w:val="000000"/>
          <w:shd w:val="clear" w:color="auto" w:fill="FFFFFF"/>
          <w:lang w:val="en-GB"/>
        </w:rPr>
      </w:pPr>
      <w:r w:rsidRPr="009E0AB4">
        <w:rPr>
          <w:rFonts w:cstheme="minorHAnsi"/>
          <w:color w:val="000000"/>
          <w:shd w:val="clear" w:color="auto" w:fill="FFFFFF"/>
          <w:lang w:val="en-GB"/>
        </w:rPr>
        <w:t xml:space="preserve">Presentation on Hudoc.exec: </w:t>
      </w:r>
      <w:r w:rsidRPr="009849FB">
        <w:rPr>
          <w:rFonts w:cstheme="minorHAnsi"/>
          <w:shd w:val="clear" w:color="auto" w:fill="FFFFFF"/>
          <w:lang w:val="en-GB"/>
        </w:rPr>
        <w:t xml:space="preserve">n/a </w:t>
      </w:r>
    </w:p>
    <w:p w14:paraId="7D43443D" w14:textId="77777777" w:rsidR="004801F0" w:rsidRPr="009E0AB4" w:rsidRDefault="004801F0" w:rsidP="004801F0">
      <w:pPr>
        <w:spacing w:line="256" w:lineRule="auto"/>
        <w:jc w:val="both"/>
        <w:rPr>
          <w:rFonts w:cstheme="minorHAnsi"/>
          <w:color w:val="000000"/>
          <w:shd w:val="clear" w:color="auto" w:fill="FFFFFF"/>
          <w:lang w:val="en-GB"/>
        </w:rPr>
      </w:pPr>
      <w:r w:rsidRPr="009E0AB4">
        <w:rPr>
          <w:rFonts w:cstheme="minorHAnsi"/>
          <w:lang w:val="en-GB"/>
        </w:rPr>
        <w:t xml:space="preserve">Latest decisions: </w:t>
      </w:r>
      <w:r w:rsidRPr="00B239E8">
        <w:rPr>
          <w:rFonts w:cstheme="minorHAnsi"/>
          <w:shd w:val="clear" w:color="auto" w:fill="FFFFFF"/>
          <w:lang w:val="en-US"/>
        </w:rPr>
        <w:t>n/a</w:t>
      </w:r>
      <w:r w:rsidRPr="009E0AB4">
        <w:rPr>
          <w:rFonts w:cstheme="minorHAnsi"/>
          <w:color w:val="000000"/>
          <w:shd w:val="clear" w:color="auto" w:fill="FFFFFF"/>
          <w:lang w:val="en-GB"/>
        </w:rPr>
        <w:t xml:space="preserve"> </w:t>
      </w:r>
    </w:p>
    <w:p w14:paraId="189DDD3C" w14:textId="77777777" w:rsidR="004801F0" w:rsidRPr="00614F9A" w:rsidRDefault="004801F0" w:rsidP="004801F0">
      <w:pPr>
        <w:jc w:val="both"/>
        <w:rPr>
          <w:rFonts w:eastAsia="Times New Roman" w:cstheme="minorHAnsi"/>
          <w:lang w:val="en-US" w:eastAsia="fr-FR"/>
        </w:rPr>
      </w:pPr>
      <w:r w:rsidRPr="009E0AB4">
        <w:rPr>
          <w:rFonts w:cstheme="minorHAnsi"/>
          <w:color w:val="000000"/>
          <w:shd w:val="clear" w:color="auto" w:fill="FFFFFF"/>
          <w:lang w:val="en-GB"/>
        </w:rPr>
        <w:t xml:space="preserve">Latest information: </w:t>
      </w:r>
      <w:r w:rsidRPr="00B239E8">
        <w:rPr>
          <w:rFonts w:cstheme="minorHAnsi"/>
          <w:lang w:val="en-US"/>
        </w:rPr>
        <w:t>n/a</w:t>
      </w:r>
    </w:p>
    <w:p w14:paraId="39C589BE" w14:textId="77777777" w:rsidR="004801F0" w:rsidRDefault="004801F0">
      <w:pPr>
        <w:rPr>
          <w:rFonts w:cs="Arial"/>
          <w:color w:val="FFFFFF" w:themeColor="background1"/>
          <w:sz w:val="22"/>
          <w:szCs w:val="22"/>
          <w:shd w:val="clear" w:color="auto" w:fill="1F3864" w:themeFill="accent1" w:themeFillShade="80"/>
          <w:lang w:val="en-US"/>
        </w:rPr>
      </w:pPr>
    </w:p>
    <w:p w14:paraId="5E83B762" w14:textId="77777777" w:rsidR="00B239E8" w:rsidRPr="00B239E8" w:rsidRDefault="00B239E8" w:rsidP="00B239E8">
      <w:pPr>
        <w:rPr>
          <w:rFonts w:cs="Arial"/>
          <w:color w:val="FFFFFF" w:themeColor="background1"/>
          <w:sz w:val="22"/>
          <w:szCs w:val="22"/>
          <w:shd w:val="clear" w:color="auto" w:fill="1F3864" w:themeFill="accent1" w:themeFillShade="80"/>
        </w:rPr>
      </w:pPr>
    </w:p>
    <w:p w14:paraId="5E456C02" w14:textId="34FF8E64" w:rsidR="00B239E8" w:rsidRPr="00B239E8" w:rsidRDefault="00B239E8" w:rsidP="00B239E8">
      <w:pPr>
        <w:rPr>
          <w:lang w:val="en-GB"/>
        </w:rPr>
      </w:pPr>
      <w:r w:rsidRPr="00B239E8">
        <w:rPr>
          <w:lang w:val="en-GB"/>
        </w:rPr>
        <w:t>Implementation of Human Rights,</w:t>
      </w:r>
      <w:r>
        <w:rPr>
          <w:lang w:val="en-GB"/>
        </w:rPr>
        <w:t xml:space="preserve"> </w:t>
      </w:r>
      <w:r w:rsidRPr="00B239E8">
        <w:rPr>
          <w:lang w:val="en-GB"/>
        </w:rPr>
        <w:t>Justice and Legal Co-operation Standards</w:t>
      </w:r>
    </w:p>
    <w:p w14:paraId="3D5D943E" w14:textId="77777777" w:rsidR="00B239E8" w:rsidRDefault="00B239E8">
      <w:pPr>
        <w:rPr>
          <w:rFonts w:cs="Arial"/>
          <w:color w:val="FFFFFF" w:themeColor="background1"/>
          <w:sz w:val="22"/>
          <w:szCs w:val="22"/>
          <w:shd w:val="clear" w:color="auto" w:fill="1F3864" w:themeFill="accent1" w:themeFillShade="80"/>
          <w:lang w:val="en-US"/>
        </w:rPr>
      </w:pPr>
    </w:p>
    <w:p w14:paraId="45242272" w14:textId="77777777" w:rsidR="00B239E8" w:rsidRPr="00A758C3" w:rsidRDefault="00B239E8" w:rsidP="00B239E8">
      <w:pPr>
        <w:jc w:val="both"/>
        <w:rPr>
          <w:lang w:val="en-GB"/>
        </w:rPr>
      </w:pPr>
      <w:r w:rsidRPr="00A758C3">
        <w:rPr>
          <w:lang w:val="en-GB"/>
        </w:rPr>
        <w:t xml:space="preserve">The Office of the Attorney General (OAG) and Office of State Advocate (OAS) are implementing a reorganisation project co-funded by the European Union and the Council of Europe aiming to strengthen the operational independence and efficiency of both offices.  </w:t>
      </w:r>
    </w:p>
    <w:p w14:paraId="164A40CA" w14:textId="77777777" w:rsidR="00B239E8" w:rsidRDefault="00B239E8" w:rsidP="00B239E8">
      <w:pPr>
        <w:jc w:val="both"/>
        <w:rPr>
          <w:lang w:val="en-GB"/>
        </w:rPr>
      </w:pPr>
    </w:p>
    <w:p w14:paraId="39A442E6" w14:textId="77777777" w:rsidR="00B239E8" w:rsidRPr="00A758C3" w:rsidRDefault="00B239E8" w:rsidP="00B239E8">
      <w:pPr>
        <w:jc w:val="both"/>
        <w:rPr>
          <w:lang w:val="en-GB"/>
        </w:rPr>
      </w:pPr>
      <w:r w:rsidRPr="00A758C3">
        <w:rPr>
          <w:lang w:val="en-GB"/>
        </w:rPr>
        <w:t>In October 2024, additional responsibilities for prosecuting drug-related criminal offences were transferred to the OAG.  In the last two years, the OAG has achieved significant progress in the reduction of case backlogs for criminal prosecutions awaiting the finalisation of Bills of Indictment.  </w:t>
      </w:r>
    </w:p>
    <w:p w14:paraId="6DA75043" w14:textId="77777777" w:rsidR="00B239E8" w:rsidRPr="00A758C3" w:rsidRDefault="00B239E8" w:rsidP="00B239E8">
      <w:pPr>
        <w:jc w:val="both"/>
        <w:rPr>
          <w:lang w:val="en-GB"/>
        </w:rPr>
      </w:pPr>
      <w:r w:rsidRPr="00A758C3">
        <w:rPr>
          <w:lang w:val="en-GB"/>
        </w:rPr>
        <w:t> </w:t>
      </w:r>
    </w:p>
    <w:p w14:paraId="46BF0AF5" w14:textId="77777777" w:rsidR="00B239E8" w:rsidRPr="00A758C3" w:rsidRDefault="00B239E8" w:rsidP="00B239E8">
      <w:pPr>
        <w:jc w:val="both"/>
        <w:rPr>
          <w:lang w:val="en-GB"/>
        </w:rPr>
      </w:pPr>
      <w:r w:rsidRPr="00A758C3">
        <w:rPr>
          <w:lang w:val="en-GB"/>
        </w:rPr>
        <w:t>The scope of mandate of the State Advocate concerning its power to initiate asset recovery proceedings in the interest of Maltese state without explicit guidance by the Government of Malta has been subject judicial controversy since 2023.  On 2 December 2024, the Court of Appeal ruled that the State Advocate has the power to act independently of any government direction to recover funds on behalf of the Maltese state regarding the fraudulent hospitals concession knowns as the Vitals case.</w:t>
      </w:r>
    </w:p>
    <w:p w14:paraId="2A143325" w14:textId="77777777" w:rsidR="00B239E8" w:rsidRPr="00A758C3" w:rsidRDefault="00B239E8" w:rsidP="00B239E8">
      <w:pPr>
        <w:jc w:val="both"/>
        <w:rPr>
          <w:lang w:val="en-GB"/>
        </w:rPr>
      </w:pPr>
      <w:r w:rsidRPr="00A758C3">
        <w:rPr>
          <w:lang w:val="en-GB"/>
        </w:rPr>
        <w:t> </w:t>
      </w:r>
    </w:p>
    <w:p w14:paraId="63FAD99F" w14:textId="77777777" w:rsidR="00B239E8" w:rsidRPr="00A758C3" w:rsidRDefault="00B239E8" w:rsidP="00B239E8">
      <w:pPr>
        <w:jc w:val="both"/>
        <w:rPr>
          <w:lang w:val="en-GB"/>
        </w:rPr>
      </w:pPr>
      <w:r w:rsidRPr="00A758C3">
        <w:rPr>
          <w:lang w:val="en-GB"/>
        </w:rPr>
        <w:t>In line with the Malta Digital Justice Strategy 2022-2027 plans for digital transformation in the justice system, the Ministry for Justice and Construction Reforms is in the process of designing a new Case Management System for the justice institutions.</w:t>
      </w:r>
    </w:p>
    <w:p w14:paraId="0C286DFB" w14:textId="77777777" w:rsidR="00B239E8" w:rsidRPr="00B239E8" w:rsidRDefault="00B239E8">
      <w:pPr>
        <w:rPr>
          <w:rFonts w:cs="Arial"/>
          <w:color w:val="FFFFFF" w:themeColor="background1"/>
          <w:sz w:val="22"/>
          <w:szCs w:val="22"/>
          <w:shd w:val="clear" w:color="auto" w:fill="1F3864" w:themeFill="accent1" w:themeFillShade="80"/>
          <w:lang w:val="en-GB"/>
        </w:rPr>
      </w:pPr>
    </w:p>
    <w:p w14:paraId="52435D2B" w14:textId="77777777" w:rsidR="000B4874" w:rsidRDefault="000B4874" w:rsidP="000B4874">
      <w:pPr>
        <w:keepNext/>
        <w:spacing w:before="320"/>
        <w:outlineLvl w:val="0"/>
        <w:rPr>
          <w:rFonts w:ascii="Calibri Light" w:eastAsia="Times New Roman" w:hAnsi="Calibri Light" w:cs="Calibri Light"/>
          <w:color w:val="2F5496"/>
          <w:kern w:val="36"/>
          <w:sz w:val="32"/>
          <w:szCs w:val="32"/>
          <w:lang w:val="en-US"/>
        </w:rPr>
      </w:pPr>
      <w:bookmarkStart w:id="3" w:name="_Toc36635832"/>
      <w:r w:rsidRPr="000B4874">
        <w:rPr>
          <w:rFonts w:ascii="Calibri Light" w:eastAsia="Times New Roman" w:hAnsi="Calibri Light" w:cs="Calibri Light"/>
          <w:color w:val="2F5496"/>
          <w:kern w:val="36"/>
          <w:sz w:val="32"/>
          <w:szCs w:val="32"/>
          <w:lang w:val="en-US"/>
        </w:rPr>
        <w:t>II Anti-corruption framework</w:t>
      </w:r>
      <w:bookmarkEnd w:id="3"/>
      <w:r w:rsidRPr="000B4874">
        <w:rPr>
          <w:rFonts w:ascii="Calibri Light" w:eastAsia="Times New Roman" w:hAnsi="Calibri Light" w:cs="Calibri Light"/>
          <w:color w:val="2F5496"/>
          <w:kern w:val="36"/>
          <w:sz w:val="32"/>
          <w:szCs w:val="32"/>
          <w:lang w:val="en-US"/>
        </w:rPr>
        <w:t xml:space="preserve"> </w:t>
      </w:r>
    </w:p>
    <w:p w14:paraId="6E558CB9" w14:textId="77777777" w:rsidR="00CF0DEA" w:rsidRPr="000B4874" w:rsidRDefault="00CF0DEA" w:rsidP="000B4874">
      <w:pPr>
        <w:keepNext/>
        <w:spacing w:before="320"/>
        <w:outlineLvl w:val="0"/>
        <w:rPr>
          <w:rFonts w:ascii="Calibri Light" w:eastAsia="Times New Roman" w:hAnsi="Calibri Light" w:cs="Calibri Light"/>
          <w:color w:val="2F5496"/>
          <w:kern w:val="36"/>
          <w:sz w:val="32"/>
          <w:szCs w:val="32"/>
          <w:lang w:val="en-US"/>
        </w:rPr>
      </w:pPr>
    </w:p>
    <w:p w14:paraId="1BACD13C" w14:textId="77777777" w:rsidR="00CF0DEA" w:rsidRDefault="00CF0DEA" w:rsidP="00CF0DEA">
      <w:pPr>
        <w:rPr>
          <w:lang w:val="en-US"/>
        </w:rPr>
      </w:pPr>
      <w:r>
        <w:rPr>
          <w:lang w:val="en-US"/>
        </w:rPr>
        <w:t>GRECO (21 March 2024)</w:t>
      </w:r>
    </w:p>
    <w:p w14:paraId="4FE3A803" w14:textId="77777777" w:rsidR="00CF0DEA" w:rsidRDefault="00000000" w:rsidP="00CF0DEA">
      <w:pPr>
        <w:rPr>
          <w:lang w:val="en-US"/>
        </w:rPr>
      </w:pPr>
      <w:hyperlink r:id="rId19" w:history="1">
        <w:r w:rsidR="00CF0DEA" w:rsidRPr="00F5632A">
          <w:rPr>
            <w:rStyle w:val="Hyperlink"/>
            <w:lang w:val="en-US"/>
          </w:rPr>
          <w:t>Second Compliance Report</w:t>
        </w:r>
      </w:hyperlink>
    </w:p>
    <w:p w14:paraId="6BB16449" w14:textId="77777777" w:rsidR="00CF0DEA" w:rsidRDefault="00CF0DEA" w:rsidP="00CF0DEA">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7C1A0405" w14:textId="77777777" w:rsidR="001D0801" w:rsidRDefault="001D0801" w:rsidP="00CF0DEA">
      <w:pPr>
        <w:rPr>
          <w:lang w:val="en-GB"/>
        </w:rPr>
      </w:pPr>
    </w:p>
    <w:p w14:paraId="644B069B" w14:textId="77777777" w:rsidR="001D0801" w:rsidRDefault="001D0801" w:rsidP="00CF0DEA">
      <w:pPr>
        <w:rPr>
          <w:lang w:val="en-GB"/>
        </w:rPr>
      </w:pPr>
    </w:p>
    <w:p w14:paraId="6FCBCE58" w14:textId="77777777" w:rsidR="001D0801" w:rsidRDefault="001D0801" w:rsidP="00CF0DEA">
      <w:pPr>
        <w:rPr>
          <w:lang w:val="en-GB"/>
        </w:rPr>
      </w:pPr>
    </w:p>
    <w:p w14:paraId="0208C7B7" w14:textId="77777777" w:rsidR="001D0801" w:rsidRPr="004801F0" w:rsidRDefault="001D0801" w:rsidP="001D0801">
      <w:pPr>
        <w:pStyle w:val="NoSpacing"/>
        <w:rPr>
          <w:rFonts w:ascii="Calibri" w:hAnsi="Calibri" w:cs="Calibri"/>
          <w:color w:val="161616"/>
          <w:lang w:val="it-IT"/>
        </w:rPr>
      </w:pPr>
      <w:r w:rsidRPr="004801F0">
        <w:rPr>
          <w:rFonts w:ascii="Calibri" w:hAnsi="Calibri" w:cs="Calibri"/>
          <w:color w:val="161616"/>
          <w:lang w:val="it-IT"/>
        </w:rPr>
        <w:t xml:space="preserve">MONEYVAL </w:t>
      </w:r>
    </w:p>
    <w:p w14:paraId="25E261E4" w14:textId="77777777" w:rsidR="001D0801" w:rsidRPr="004801F0" w:rsidRDefault="001D0801" w:rsidP="001D0801">
      <w:pPr>
        <w:pStyle w:val="NoSpacing"/>
        <w:rPr>
          <w:rFonts w:ascii="Calibri" w:hAnsi="Calibri" w:cs="Calibri"/>
          <w:color w:val="161616"/>
          <w:lang w:val="it-IT"/>
        </w:rPr>
      </w:pPr>
      <w:r w:rsidRPr="004801F0">
        <w:rPr>
          <w:rFonts w:ascii="Calibri" w:hAnsi="Calibri" w:cs="Calibri"/>
          <w:color w:val="161616"/>
          <w:lang w:val="it-IT"/>
        </w:rPr>
        <w:t xml:space="preserve">N/A </w:t>
      </w:r>
    </w:p>
    <w:p w14:paraId="78D23A53" w14:textId="77777777" w:rsidR="001D0801" w:rsidRPr="004801F0" w:rsidRDefault="001D0801" w:rsidP="001D0801">
      <w:pPr>
        <w:pStyle w:val="NoSpacing"/>
        <w:rPr>
          <w:rFonts w:ascii="Calibri" w:hAnsi="Calibri" w:cs="Calibri"/>
          <w:color w:val="161616"/>
          <w:lang w:val="it-IT"/>
        </w:rPr>
      </w:pPr>
    </w:p>
    <w:p w14:paraId="34147279" w14:textId="77777777" w:rsidR="001D0801" w:rsidRPr="004801F0" w:rsidRDefault="001D0801" w:rsidP="001D0801">
      <w:pPr>
        <w:pStyle w:val="NoSpacing"/>
        <w:rPr>
          <w:rFonts w:ascii="Calibri" w:hAnsi="Calibri" w:cs="Calibri"/>
          <w:color w:val="161616"/>
          <w:lang w:val="it-IT"/>
        </w:rPr>
      </w:pPr>
      <w:r w:rsidRPr="004801F0">
        <w:rPr>
          <w:rFonts w:ascii="Calibri" w:hAnsi="Calibri" w:cs="Calibri"/>
          <w:color w:val="161616"/>
          <w:lang w:val="it-IT"/>
        </w:rPr>
        <w:t xml:space="preserve">COP 198 </w:t>
      </w:r>
    </w:p>
    <w:p w14:paraId="0F784A3A" w14:textId="77777777" w:rsidR="001D0801" w:rsidRPr="004801F0" w:rsidRDefault="001D0801" w:rsidP="001D0801">
      <w:pPr>
        <w:pStyle w:val="NoSpacing"/>
        <w:rPr>
          <w:rFonts w:ascii="Calibri" w:hAnsi="Calibri" w:cs="Calibri"/>
          <w:color w:val="161616"/>
          <w:lang w:val="it-IT"/>
        </w:rPr>
      </w:pPr>
      <w:r w:rsidRPr="004801F0">
        <w:rPr>
          <w:rFonts w:ascii="Calibri" w:hAnsi="Calibri" w:cs="Calibri"/>
          <w:color w:val="161616"/>
          <w:lang w:val="it-IT"/>
        </w:rPr>
        <w:t>N/A</w:t>
      </w:r>
    </w:p>
    <w:p w14:paraId="437BDE37" w14:textId="77777777" w:rsidR="001D0801" w:rsidRPr="004801F0" w:rsidRDefault="001D0801" w:rsidP="00CF0DEA">
      <w:pPr>
        <w:rPr>
          <w:lang w:val="it-IT"/>
        </w:rPr>
      </w:pPr>
    </w:p>
    <w:p w14:paraId="7D5A235E" w14:textId="77777777" w:rsidR="000B4874" w:rsidRPr="004801F0" w:rsidRDefault="000B4874" w:rsidP="000B4874">
      <w:pPr>
        <w:keepNext/>
        <w:spacing w:before="320"/>
        <w:outlineLvl w:val="0"/>
        <w:rPr>
          <w:rFonts w:ascii="Calibri Light" w:eastAsia="Times New Roman" w:hAnsi="Calibri Light" w:cs="Calibri Light"/>
          <w:color w:val="2F5496"/>
          <w:kern w:val="36"/>
          <w:sz w:val="32"/>
          <w:szCs w:val="32"/>
          <w:lang w:val="it-IT"/>
        </w:rPr>
      </w:pPr>
    </w:p>
    <w:p w14:paraId="060BCACF" w14:textId="77777777" w:rsidR="000B4874" w:rsidRPr="004801F0" w:rsidRDefault="000B4874" w:rsidP="000B4874">
      <w:pPr>
        <w:keepNext/>
        <w:spacing w:before="320"/>
        <w:outlineLvl w:val="0"/>
        <w:rPr>
          <w:rFonts w:ascii="Calibri Light" w:eastAsia="Times New Roman" w:hAnsi="Calibri Light" w:cs="Calibri Light"/>
          <w:color w:val="2F5496"/>
          <w:kern w:val="36"/>
          <w:sz w:val="32"/>
          <w:szCs w:val="32"/>
          <w:lang w:val="it-IT"/>
        </w:rPr>
      </w:pPr>
    </w:p>
    <w:p w14:paraId="0D700BD8" w14:textId="77777777" w:rsidR="000B4874" w:rsidRPr="004801F0" w:rsidRDefault="000B4874" w:rsidP="000B4874">
      <w:pPr>
        <w:keepNext/>
        <w:spacing w:before="320"/>
        <w:outlineLvl w:val="0"/>
        <w:rPr>
          <w:rFonts w:ascii="Calibri Light" w:eastAsia="Times New Roman" w:hAnsi="Calibri Light" w:cs="Calibri Light"/>
          <w:color w:val="2F5496"/>
          <w:kern w:val="36"/>
          <w:sz w:val="32"/>
          <w:szCs w:val="32"/>
          <w:lang w:val="it-IT"/>
        </w:rPr>
      </w:pPr>
    </w:p>
    <w:p w14:paraId="1E830A21" w14:textId="77777777" w:rsidR="000B4874" w:rsidRPr="004801F0" w:rsidRDefault="000B4874" w:rsidP="000B4874">
      <w:pPr>
        <w:keepNext/>
        <w:spacing w:before="320"/>
        <w:outlineLvl w:val="0"/>
        <w:rPr>
          <w:rFonts w:ascii="Calibri Light" w:eastAsia="Times New Roman" w:hAnsi="Calibri Light" w:cs="Calibri Light"/>
          <w:color w:val="2F5496"/>
          <w:kern w:val="36"/>
          <w:sz w:val="32"/>
          <w:szCs w:val="32"/>
          <w:lang w:val="it-IT"/>
        </w:rPr>
      </w:pPr>
      <w:bookmarkStart w:id="4" w:name="_Toc36635845"/>
      <w:r w:rsidRPr="004801F0">
        <w:rPr>
          <w:rFonts w:ascii="Calibri Light" w:eastAsia="Times New Roman" w:hAnsi="Calibri Light" w:cs="Calibri Light"/>
          <w:color w:val="2F5496"/>
          <w:kern w:val="36"/>
          <w:sz w:val="32"/>
          <w:szCs w:val="32"/>
          <w:lang w:val="it-IT"/>
        </w:rPr>
        <w:t>III Media pluralism</w:t>
      </w:r>
      <w:bookmarkEnd w:id="4"/>
      <w:r w:rsidRPr="004801F0">
        <w:rPr>
          <w:rFonts w:ascii="Calibri Light" w:eastAsia="Times New Roman" w:hAnsi="Calibri Light" w:cs="Calibri Light"/>
          <w:color w:val="2F5496"/>
          <w:kern w:val="36"/>
          <w:sz w:val="32"/>
          <w:szCs w:val="32"/>
          <w:lang w:val="it-IT"/>
        </w:rPr>
        <w:t xml:space="preserve"> </w:t>
      </w:r>
    </w:p>
    <w:p w14:paraId="2428515B" w14:textId="77777777" w:rsidR="000B4874" w:rsidRPr="004801F0" w:rsidRDefault="000B4874" w:rsidP="000B4874">
      <w:pPr>
        <w:keepNext/>
        <w:spacing w:before="320"/>
        <w:outlineLvl w:val="0"/>
        <w:rPr>
          <w:rFonts w:ascii="Calibri Light" w:eastAsia="Times New Roman" w:hAnsi="Calibri Light" w:cs="Calibri Light"/>
          <w:color w:val="2F5496"/>
          <w:kern w:val="36"/>
          <w:sz w:val="32"/>
          <w:szCs w:val="32"/>
          <w:lang w:val="it-IT"/>
        </w:rPr>
      </w:pPr>
    </w:p>
    <w:p w14:paraId="39C5E0D5" w14:textId="77777777" w:rsidR="000B4874" w:rsidRPr="004801F0" w:rsidRDefault="000B4874" w:rsidP="000B4874">
      <w:pPr>
        <w:keepNext/>
        <w:spacing w:before="320"/>
        <w:outlineLvl w:val="0"/>
        <w:rPr>
          <w:rFonts w:ascii="Calibri Light" w:eastAsia="Times New Roman" w:hAnsi="Calibri Light" w:cs="Calibri Light"/>
          <w:color w:val="2F5496"/>
          <w:kern w:val="36"/>
          <w:sz w:val="32"/>
          <w:szCs w:val="32"/>
          <w:lang w:val="it-IT"/>
        </w:rPr>
      </w:pPr>
    </w:p>
    <w:p w14:paraId="774F1DDF" w14:textId="77777777" w:rsidR="000B4874" w:rsidRPr="000B4874" w:rsidRDefault="000B4874" w:rsidP="000B4874">
      <w:pPr>
        <w:keepNext/>
        <w:spacing w:before="320"/>
        <w:outlineLvl w:val="0"/>
        <w:rPr>
          <w:rFonts w:ascii="Calibri Light" w:eastAsia="Times New Roman" w:hAnsi="Calibri Light" w:cs="Calibri Light"/>
          <w:color w:val="2F5496"/>
          <w:kern w:val="36"/>
          <w:sz w:val="32"/>
          <w:szCs w:val="32"/>
          <w:lang w:val="en-US"/>
        </w:rPr>
      </w:pPr>
      <w:bookmarkStart w:id="5" w:name="_Toc36635858"/>
      <w:r w:rsidRPr="000B4874">
        <w:rPr>
          <w:rFonts w:ascii="Calibri Light" w:eastAsia="Times New Roman" w:hAnsi="Calibri Light" w:cs="Calibri Light"/>
          <w:color w:val="2F5496"/>
          <w:kern w:val="36"/>
          <w:sz w:val="32"/>
          <w:szCs w:val="32"/>
          <w:lang w:val="en-US"/>
        </w:rPr>
        <w:t>IV Other institutional issues related to checks and balances</w:t>
      </w:r>
      <w:bookmarkEnd w:id="5"/>
      <w:r w:rsidRPr="000B4874">
        <w:rPr>
          <w:rFonts w:ascii="Calibri Light" w:eastAsia="Times New Roman" w:hAnsi="Calibri Light" w:cs="Calibri Light"/>
          <w:color w:val="2F5496"/>
          <w:kern w:val="36"/>
          <w:sz w:val="32"/>
          <w:szCs w:val="32"/>
          <w:lang w:val="en-US"/>
        </w:rPr>
        <w:t xml:space="preserve"> </w:t>
      </w:r>
    </w:p>
    <w:p w14:paraId="4FD72D82" w14:textId="77777777" w:rsidR="000B4874" w:rsidRPr="008B6B20" w:rsidRDefault="000B4874">
      <w:pPr>
        <w:rPr>
          <w:rFonts w:cs="Arial"/>
          <w:color w:val="FFFFFF" w:themeColor="background1"/>
          <w:sz w:val="22"/>
          <w:szCs w:val="22"/>
          <w:shd w:val="clear" w:color="auto" w:fill="1F3864" w:themeFill="accent1" w:themeFillShade="80"/>
          <w:lang w:val="en-US"/>
        </w:rPr>
      </w:pPr>
    </w:p>
    <w:sectPr w:rsidR="000B4874" w:rsidRPr="008B6B20" w:rsidSect="007B3B82">
      <w:footerReference w:type="default" r:id="rId20"/>
      <w:footerReference w:type="first" r:id="rId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4325" w14:textId="77777777" w:rsidR="00E60CCF" w:rsidRDefault="00E60CCF" w:rsidP="00857FF1">
      <w:r>
        <w:separator/>
      </w:r>
    </w:p>
  </w:endnote>
  <w:endnote w:type="continuationSeparator" w:id="0">
    <w:p w14:paraId="0E0C0F42" w14:textId="77777777" w:rsidR="00E60CCF" w:rsidRDefault="00E60CCF"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FC9CA" w14:textId="77777777" w:rsidR="00E60CCF" w:rsidRDefault="00E60CCF" w:rsidP="00857FF1">
      <w:r>
        <w:separator/>
      </w:r>
    </w:p>
  </w:footnote>
  <w:footnote w:type="continuationSeparator" w:id="0">
    <w:p w14:paraId="513666F4" w14:textId="77777777" w:rsidR="00E60CCF" w:rsidRDefault="00E60CCF"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abstractNum w:abstractNumId="11" w15:restartNumberingAfterBreak="0">
    <w:nsid w:val="59166076"/>
    <w:multiLevelType w:val="hybridMultilevel"/>
    <w:tmpl w:val="DAC43956"/>
    <w:lvl w:ilvl="0" w:tplc="EA4C21D2">
      <w:start w:val="5"/>
      <w:numFmt w:val="bullet"/>
      <w:lvlText w:val="-"/>
      <w:lvlJc w:val="left"/>
      <w:pPr>
        <w:ind w:left="720" w:hanging="360"/>
      </w:pPr>
      <w:rPr>
        <w:rFonts w:ascii="Calibri" w:eastAsiaTheme="minorEastAsia" w:hAnsi="Calibri"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 w:numId="13" w16cid:durableId="14827744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7AA5"/>
    <w:rsid w:val="00062CBC"/>
    <w:rsid w:val="00064AF2"/>
    <w:rsid w:val="000707C5"/>
    <w:rsid w:val="00084C0B"/>
    <w:rsid w:val="00085157"/>
    <w:rsid w:val="00095F4E"/>
    <w:rsid w:val="000A0236"/>
    <w:rsid w:val="000B223F"/>
    <w:rsid w:val="000B4874"/>
    <w:rsid w:val="000B4984"/>
    <w:rsid w:val="000C0A74"/>
    <w:rsid w:val="000C1783"/>
    <w:rsid w:val="000C1D7E"/>
    <w:rsid w:val="000E51C1"/>
    <w:rsid w:val="000F73A4"/>
    <w:rsid w:val="001029E2"/>
    <w:rsid w:val="0011349E"/>
    <w:rsid w:val="00123EAE"/>
    <w:rsid w:val="0012499E"/>
    <w:rsid w:val="001257E8"/>
    <w:rsid w:val="001272D8"/>
    <w:rsid w:val="001279C3"/>
    <w:rsid w:val="00152FC1"/>
    <w:rsid w:val="00157DFE"/>
    <w:rsid w:val="001621AD"/>
    <w:rsid w:val="00167680"/>
    <w:rsid w:val="001708DF"/>
    <w:rsid w:val="00172847"/>
    <w:rsid w:val="00184BFB"/>
    <w:rsid w:val="00187CD1"/>
    <w:rsid w:val="00194CC7"/>
    <w:rsid w:val="001A0B36"/>
    <w:rsid w:val="001A0CF1"/>
    <w:rsid w:val="001C77D8"/>
    <w:rsid w:val="001D0801"/>
    <w:rsid w:val="001D0AE0"/>
    <w:rsid w:val="001E0EB7"/>
    <w:rsid w:val="002027E7"/>
    <w:rsid w:val="002077C4"/>
    <w:rsid w:val="0021059A"/>
    <w:rsid w:val="00252DBE"/>
    <w:rsid w:val="00252F46"/>
    <w:rsid w:val="00253647"/>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3F4E0F"/>
    <w:rsid w:val="004012A1"/>
    <w:rsid w:val="004013FD"/>
    <w:rsid w:val="00405191"/>
    <w:rsid w:val="00411F51"/>
    <w:rsid w:val="0041531E"/>
    <w:rsid w:val="00424436"/>
    <w:rsid w:val="00424AE6"/>
    <w:rsid w:val="00434E92"/>
    <w:rsid w:val="00443197"/>
    <w:rsid w:val="00457269"/>
    <w:rsid w:val="00464735"/>
    <w:rsid w:val="00471625"/>
    <w:rsid w:val="004801F0"/>
    <w:rsid w:val="00491D94"/>
    <w:rsid w:val="0049205D"/>
    <w:rsid w:val="00496B58"/>
    <w:rsid w:val="004A628B"/>
    <w:rsid w:val="004B2966"/>
    <w:rsid w:val="004B4189"/>
    <w:rsid w:val="004C29C8"/>
    <w:rsid w:val="004C37B3"/>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323D4"/>
    <w:rsid w:val="00734B17"/>
    <w:rsid w:val="00734D8B"/>
    <w:rsid w:val="00742FA8"/>
    <w:rsid w:val="00744D22"/>
    <w:rsid w:val="00756962"/>
    <w:rsid w:val="0076072F"/>
    <w:rsid w:val="0076444E"/>
    <w:rsid w:val="007959C1"/>
    <w:rsid w:val="007A270E"/>
    <w:rsid w:val="007B3B82"/>
    <w:rsid w:val="007D198D"/>
    <w:rsid w:val="007D262D"/>
    <w:rsid w:val="007E2BE3"/>
    <w:rsid w:val="007F2A4E"/>
    <w:rsid w:val="007F352D"/>
    <w:rsid w:val="008131ED"/>
    <w:rsid w:val="00833496"/>
    <w:rsid w:val="00833AA1"/>
    <w:rsid w:val="00840C7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8F4999"/>
    <w:rsid w:val="0090195D"/>
    <w:rsid w:val="00906927"/>
    <w:rsid w:val="00906B87"/>
    <w:rsid w:val="00945E9C"/>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16DE8"/>
    <w:rsid w:val="00A36CCA"/>
    <w:rsid w:val="00A42F38"/>
    <w:rsid w:val="00A43E9B"/>
    <w:rsid w:val="00A476D7"/>
    <w:rsid w:val="00A47E2D"/>
    <w:rsid w:val="00A52988"/>
    <w:rsid w:val="00A53917"/>
    <w:rsid w:val="00A54D19"/>
    <w:rsid w:val="00A70E18"/>
    <w:rsid w:val="00A7220C"/>
    <w:rsid w:val="00A726B1"/>
    <w:rsid w:val="00A745D4"/>
    <w:rsid w:val="00A75E87"/>
    <w:rsid w:val="00A82B5B"/>
    <w:rsid w:val="00A84BB2"/>
    <w:rsid w:val="00A9443C"/>
    <w:rsid w:val="00AA1BBD"/>
    <w:rsid w:val="00AA2156"/>
    <w:rsid w:val="00AA476A"/>
    <w:rsid w:val="00AB0698"/>
    <w:rsid w:val="00AB195E"/>
    <w:rsid w:val="00AC541D"/>
    <w:rsid w:val="00AC6FD7"/>
    <w:rsid w:val="00AD3544"/>
    <w:rsid w:val="00AD4A17"/>
    <w:rsid w:val="00AD5BD0"/>
    <w:rsid w:val="00AF2279"/>
    <w:rsid w:val="00AF2511"/>
    <w:rsid w:val="00AF4B2D"/>
    <w:rsid w:val="00AF5605"/>
    <w:rsid w:val="00B22E3E"/>
    <w:rsid w:val="00B239E8"/>
    <w:rsid w:val="00B2424D"/>
    <w:rsid w:val="00B35012"/>
    <w:rsid w:val="00B36582"/>
    <w:rsid w:val="00B52587"/>
    <w:rsid w:val="00B807B6"/>
    <w:rsid w:val="00BC2311"/>
    <w:rsid w:val="00BD211A"/>
    <w:rsid w:val="00BD26EA"/>
    <w:rsid w:val="00BE1EE0"/>
    <w:rsid w:val="00BE2ADB"/>
    <w:rsid w:val="00BF5595"/>
    <w:rsid w:val="00C003A4"/>
    <w:rsid w:val="00C06969"/>
    <w:rsid w:val="00C06D56"/>
    <w:rsid w:val="00C25237"/>
    <w:rsid w:val="00C45527"/>
    <w:rsid w:val="00C5444D"/>
    <w:rsid w:val="00C6182C"/>
    <w:rsid w:val="00C75135"/>
    <w:rsid w:val="00C848FF"/>
    <w:rsid w:val="00C86F4B"/>
    <w:rsid w:val="00CC09C0"/>
    <w:rsid w:val="00CC0E4F"/>
    <w:rsid w:val="00CC5ABF"/>
    <w:rsid w:val="00CD7F9C"/>
    <w:rsid w:val="00CF0660"/>
    <w:rsid w:val="00CF0DEA"/>
    <w:rsid w:val="00CF1C6F"/>
    <w:rsid w:val="00D15B02"/>
    <w:rsid w:val="00D20872"/>
    <w:rsid w:val="00D31EA3"/>
    <w:rsid w:val="00D36177"/>
    <w:rsid w:val="00D37016"/>
    <w:rsid w:val="00D447C9"/>
    <w:rsid w:val="00D45CD6"/>
    <w:rsid w:val="00D66D1D"/>
    <w:rsid w:val="00D964C5"/>
    <w:rsid w:val="00D96E9B"/>
    <w:rsid w:val="00DA1D6A"/>
    <w:rsid w:val="00DA55DC"/>
    <w:rsid w:val="00DB1AB7"/>
    <w:rsid w:val="00DC7320"/>
    <w:rsid w:val="00DD3D8E"/>
    <w:rsid w:val="00DF19D6"/>
    <w:rsid w:val="00DF7C08"/>
    <w:rsid w:val="00E13798"/>
    <w:rsid w:val="00E147EE"/>
    <w:rsid w:val="00E2087D"/>
    <w:rsid w:val="00E26C9B"/>
    <w:rsid w:val="00E27691"/>
    <w:rsid w:val="00E429AF"/>
    <w:rsid w:val="00E56906"/>
    <w:rsid w:val="00E60CCF"/>
    <w:rsid w:val="00E81708"/>
    <w:rsid w:val="00E90AB0"/>
    <w:rsid w:val="00EA39A6"/>
    <w:rsid w:val="00EB3910"/>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91B36"/>
    <w:rsid w:val="00F9479A"/>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 w:type="paragraph" w:customStyle="1" w:styleId="s2eb42ed2">
    <w:name w:val="s2eb42ed2"/>
    <w:basedOn w:val="Normal"/>
    <w:rsid w:val="004801F0"/>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391e78ba">
    <w:name w:val="s391e78ba"/>
    <w:basedOn w:val="DefaultParagraphFont"/>
    <w:rsid w:val="004801F0"/>
  </w:style>
  <w:style w:type="paragraph" w:customStyle="1" w:styleId="s10950c61">
    <w:name w:val="s10950c61"/>
    <w:basedOn w:val="Normal"/>
    <w:rsid w:val="004801F0"/>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72706244">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345988585">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hudoc.exec.coe.int/eng?i=DH-DD(2024)403E"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m.coe.int/malta-eu-scoreboard-country-fiches-2022-data/1680b065fd" TargetMode="External"/><Relationship Id="rId17" Type="http://schemas.openxmlformats.org/officeDocument/2006/relationships/hyperlink" Target="https://hudoc.exec.coe.int/eng?i=004-55613" TargetMode="External"/><Relationship Id="rId2" Type="http://schemas.openxmlformats.org/officeDocument/2006/relationships/numbering" Target="numbering.xml"/><Relationship Id="rId16" Type="http://schemas.openxmlformats.org/officeDocument/2006/relationships/hyperlink" Target="http://hudoc.exec.coe.int/eng?i=004-5561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malta/1680b1df73" TargetMode="Externa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theme" Target="theme/theme1.xml"/><Relationship Id="rId10" Type="http://schemas.openxmlformats.org/officeDocument/2006/relationships/hyperlink" Target="http://www.coe.int/en/web/cepej/cepej-stat" TargetMode="External"/><Relationship Id="rId19" Type="http://schemas.openxmlformats.org/officeDocument/2006/relationships/hyperlink" Target="https://rm.coe.int/fifth-evaluation-round-preventing-corruption-and-promoting-integrity-i/1680aef0f5"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768</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7</cp:revision>
  <dcterms:created xsi:type="dcterms:W3CDTF">2025-01-20T14:44:00Z</dcterms:created>
  <dcterms:modified xsi:type="dcterms:W3CDTF">2025-02-03T07:39:00Z</dcterms:modified>
</cp:coreProperties>
</file>